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529C" w14:textId="77777777" w:rsidR="00ED279B" w:rsidRPr="000F1A11" w:rsidRDefault="00ED279B" w:rsidP="005C2654">
      <w:pPr>
        <w:spacing w:line="240" w:lineRule="atLeast"/>
        <w:ind w:left="953" w:hanging="953"/>
        <w:jc w:val="center"/>
        <w:rPr>
          <w:rFonts w:ascii="Bodoni MT" w:hAnsi="Bodoni MT" w:cs="Calibri-Bold"/>
          <w:b/>
          <w:bCs/>
          <w:sz w:val="20"/>
          <w:szCs w:val="20"/>
        </w:rPr>
      </w:pPr>
    </w:p>
    <w:p w14:paraId="6781D724" w14:textId="34667557" w:rsidR="005C2654" w:rsidRDefault="005C2654" w:rsidP="005C2654">
      <w:pPr>
        <w:spacing w:line="240" w:lineRule="atLeast"/>
        <w:ind w:left="953" w:hanging="953"/>
        <w:jc w:val="center"/>
        <w:rPr>
          <w:rFonts w:ascii="Bodoni MT" w:hAnsi="Bodoni MT" w:cs="Calibri-Bold"/>
          <w:b/>
          <w:bCs/>
          <w:sz w:val="36"/>
          <w:szCs w:val="36"/>
        </w:rPr>
      </w:pPr>
      <w:r>
        <w:rPr>
          <w:rFonts w:ascii="Bodoni MT" w:hAnsi="Bodoni MT" w:cs="Calibri-Bold"/>
          <w:b/>
          <w:bCs/>
          <w:sz w:val="36"/>
          <w:szCs w:val="36"/>
        </w:rPr>
        <w:t>AVVISO SANZA IMPRESA</w:t>
      </w:r>
    </w:p>
    <w:p w14:paraId="163545D5" w14:textId="77777777" w:rsidR="00FD03FA" w:rsidRPr="00FD03FA" w:rsidRDefault="00FD03FA" w:rsidP="005C2654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</w:p>
    <w:p w14:paraId="190B92EA" w14:textId="018CEB8E" w:rsidR="005C2654" w:rsidRPr="00FD03FA" w:rsidRDefault="005C2654" w:rsidP="005C2654">
      <w:pPr>
        <w:spacing w:after="120" w:line="200" w:lineRule="atLeast"/>
        <w:jc w:val="both"/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</w:pPr>
      <w:r w:rsidRPr="00FD03F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Avviso pubblico per la concessione di un finanziamento a favore delle Micro, Piccole e Medie imprese</w:t>
      </w:r>
      <w:r w:rsidR="00AA1C66" w:rsidRPr="00FD03F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</w:t>
      </w:r>
      <w:r w:rsidRPr="00FD03F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per la </w:t>
      </w:r>
      <w:r w:rsidR="00B75311" w:rsidRPr="00FD03F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rivitalizzazione del tessuto economico locale e imprenditoriale del territorio</w:t>
      </w:r>
    </w:p>
    <w:p w14:paraId="6C0FD9CC" w14:textId="77777777" w:rsidR="005C2654" w:rsidRPr="00477BD5" w:rsidRDefault="005C2654" w:rsidP="005C2654">
      <w:pPr>
        <w:spacing w:after="120" w:line="200" w:lineRule="atLeast"/>
        <w:jc w:val="both"/>
        <w:rPr>
          <w:rFonts w:ascii="Lato" w:eastAsia="Times New Roman" w:hAnsi="Lato" w:cs="Times New Roman"/>
          <w:color w:val="5E5E5E"/>
          <w:sz w:val="24"/>
          <w:szCs w:val="24"/>
          <w:lang w:eastAsia="it-IT"/>
        </w:rPr>
      </w:pPr>
      <w:r w:rsidRPr="00477BD5">
        <w:rPr>
          <w:rFonts w:ascii="Lato" w:eastAsia="Times New Roman" w:hAnsi="Lato" w:cs="Times New Roman"/>
          <w:color w:val="5E5E5E"/>
          <w:sz w:val="24"/>
          <w:szCs w:val="24"/>
          <w:lang w:eastAsia="it-IT"/>
        </w:rPr>
        <w:t xml:space="preserve"> </w:t>
      </w:r>
    </w:p>
    <w:p w14:paraId="5FBBADCC" w14:textId="7C13A0AE" w:rsidR="005C2654" w:rsidRPr="00FD03FA" w:rsidRDefault="005C2654" w:rsidP="005C2654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Con </w:t>
      </w:r>
      <w:r w:rsidR="00C81EE1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D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ecreto </w:t>
      </w:r>
      <w:r w:rsidR="00C81EE1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D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irigenziale n.</w:t>
      </w:r>
      <w:r w:rsidR="00A71297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12 del 22 gennaio 2025 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a Direzione Generale per le </w:t>
      </w:r>
      <w:r w:rsidR="00C81EE1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P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olitiche </w:t>
      </w:r>
      <w:r w:rsidR="00C81EE1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C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ulturali e il </w:t>
      </w:r>
      <w:r w:rsidR="00C81EE1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T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urismo, nell’ambito dell’intervento denominato “</w:t>
      </w:r>
      <w:r w:rsidR="00574F59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Sanza impresa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” </w:t>
      </w:r>
      <w:r w:rsidR="00477BD5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di cui </w:t>
      </w:r>
      <w:r w:rsidR="00477BD5" w:rsidRPr="00C81EE1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al</w:t>
      </w:r>
      <w:r w:rsidR="00477BD5"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Progetto Pilota </w:t>
      </w:r>
      <w:r w:rsidR="00D229E7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“</w:t>
      </w:r>
      <w:r w:rsidR="00477BD5"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Sanza il Borgo dell’Accoglienza</w:t>
      </w:r>
      <w:r w:rsidR="00D229E7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”</w:t>
      </w:r>
      <w:r w:rsidR="00477BD5"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</w:t>
      </w:r>
      <w:r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finanziato </w:t>
      </w:r>
      <w:r w:rsidR="00477BD5"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a valere sul</w:t>
      </w:r>
      <w:r w:rsidR="001A6378"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PNRR Missione 1 – Digitalizzazione, innovazione, competitività, cultura e turismo – Componente 3 – Turismo e Cultura 4.0 –</w:t>
      </w:r>
      <w:r w:rsidR="00787F5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Missione 2 -</w:t>
      </w:r>
      <w:r w:rsidR="001A6378"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Investimento 2.1 – Attrattività dei borghi – Linea di azione A</w:t>
      </w:r>
      <w:r w:rsid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-</w:t>
      </w:r>
      <w:r w:rsidR="00317DAF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ha emanato un avviso pubblico che prevede la concessione di un finanziamento a favore delle Micro, Piccole e Medie imprese</w:t>
      </w:r>
      <w:r w:rsidR="00477BD5"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.</w:t>
      </w:r>
    </w:p>
    <w:p w14:paraId="2A21FEB9" w14:textId="77777777" w:rsidR="00477BD5" w:rsidRPr="00FD03FA" w:rsidRDefault="00477BD5" w:rsidP="00FD03FA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Finalità dell’intervento è la rivitalizzazione del tessuto economico e imprenditoriale del territorio attraverso il recupero degli antichi mestieri e delle tradizioni locali, agevolando la stabilizzazione delle attività già esistenti e la nascita di nuove imprese nei settori coerenti con la strategia di sviluppo del Borgo Sanza.</w:t>
      </w:r>
    </w:p>
    <w:p w14:paraId="7535C3B0" w14:textId="215BC4AF" w:rsidR="00477BD5" w:rsidRPr="00FD03FA" w:rsidRDefault="00477BD5" w:rsidP="00FD03FA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Gli incentivi </w:t>
      </w:r>
      <w:r w:rsidR="00517ED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sono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 destinati alla realizzazione di azioni volte a promuovere l’attrattività del </w:t>
      </w:r>
      <w:r w:rsidRPr="00517ED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Borgo di Sanza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, con particolare riferimento al  rafforzamento dei settori locali dell’artigianato e della filiera agroalimentare e al sostegno del settore turistico culturale, della ristorazione e dei servizi connessi alla fruizione culturale. Inoltre, intende contribuire allo sviluppo dei servizi connessi all’innovazione tecnologica e alla digitalizzazione nonché allo sviluppo dei servizi tesi alla sostenibilità ambientale. </w:t>
      </w:r>
    </w:p>
    <w:p w14:paraId="5818B827" w14:textId="1379BC1B" w:rsidR="00551210" w:rsidRPr="00FD03FA" w:rsidRDefault="009836DE" w:rsidP="00ED279B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Soggetti ammissibili si ritengono MPMI in forma singola o in forma aggregata.</w:t>
      </w:r>
    </w:p>
    <w:p w14:paraId="0E01C1C6" w14:textId="1CA2E81D" w:rsidR="00477BD5" w:rsidRPr="00FD03FA" w:rsidRDefault="00477BD5" w:rsidP="00FD03FA">
      <w:pPr>
        <w:spacing w:after="120" w:line="200" w:lineRule="atLeast"/>
        <w:jc w:val="both"/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</w:pP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La domanda di agevolazione dovrà essere presentata a decorrere </w:t>
      </w:r>
      <w:r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dalle ore 00.00 del 2</w:t>
      </w:r>
      <w:r w:rsidR="00517ED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7</w:t>
      </w:r>
      <w:r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gennaio 2025 e fino alle 23.59 del </w:t>
      </w:r>
      <w:r w:rsidR="00517EDA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>3 marzo</w:t>
      </w:r>
      <w:r w:rsidRPr="00C81EE1">
        <w:rPr>
          <w:rFonts w:asciiTheme="minorHAnsi" w:eastAsia="Times New Roman" w:hAnsiTheme="minorHAnsi" w:cstheme="minorHAnsi"/>
          <w:b/>
          <w:bCs/>
          <w:color w:val="5E5E5E"/>
          <w:sz w:val="24"/>
          <w:szCs w:val="24"/>
          <w:lang w:eastAsia="it-IT"/>
        </w:rPr>
        <w:t xml:space="preserve"> 2025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 xml:space="preserve">, attraverso l’apposito servizio digitale denominato </w:t>
      </w:r>
      <w:r w:rsidRPr="00FC704E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“</w:t>
      </w:r>
      <w:r w:rsidRPr="00FC704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Domanda di finanziamento SANZA </w:t>
      </w:r>
      <w:r w:rsidR="005B72FA" w:rsidRPr="00FC704E">
        <w:rPr>
          <w:rFonts w:asciiTheme="minorHAnsi" w:eastAsia="Times New Roman" w:hAnsiTheme="minorHAnsi" w:cstheme="minorHAnsi"/>
          <w:sz w:val="24"/>
          <w:szCs w:val="24"/>
          <w:lang w:eastAsia="it-IT"/>
        </w:rPr>
        <w:t>I</w:t>
      </w:r>
      <w:r w:rsidRPr="00FC704E">
        <w:rPr>
          <w:rFonts w:asciiTheme="minorHAnsi" w:eastAsia="Times New Roman" w:hAnsiTheme="minorHAnsi" w:cstheme="minorHAnsi"/>
          <w:sz w:val="24"/>
          <w:szCs w:val="24"/>
          <w:lang w:eastAsia="it-IT"/>
        </w:rPr>
        <w:t>MPRESA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”. Il servizio sarà accessibile tramite identità digitale (SPID/CIE/CNS) sul Catalogo dei servizi digitali di Regione Campania, al link </w:t>
      </w:r>
      <w:hyperlink r:id="rId8" w:history="1">
        <w:r w:rsidR="00F37B53" w:rsidRPr="00B16FF1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  <w:lang w:eastAsia="it-IT"/>
          </w:rPr>
          <w:t>https://servizi-digitali.regione.campania.it/SanzaImpres</w:t>
        </w:r>
      </w:hyperlink>
      <w:r w:rsidR="00517EDA">
        <w:rPr>
          <w:rStyle w:val="Collegamentoipertestuale"/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Pr="00517EDA">
        <w:rPr>
          <w:rStyle w:val="Collegamentoipertestuale"/>
        </w:rPr>
        <w:t xml:space="preserve"> </w:t>
      </w:r>
    </w:p>
    <w:p w14:paraId="74737DD4" w14:textId="77777777" w:rsidR="00477BD5" w:rsidRPr="00517EDA" w:rsidRDefault="00477BD5" w:rsidP="00FD03FA">
      <w:pPr>
        <w:spacing w:after="120" w:line="200" w:lineRule="atLeast"/>
        <w:jc w:val="both"/>
        <w:rPr>
          <w:rStyle w:val="Collegamentoipertestuale"/>
          <w:rFonts w:asciiTheme="minorHAnsi" w:hAnsiTheme="minorHAnsi" w:cstheme="minorHAnsi"/>
        </w:rPr>
      </w:pP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La nuova procedura telematica è stata definita in collaborazione con l’Ufficio Speciale per la Crescita e la Transizione digitale e rientra nella strategia di trasformazione digitale di Regione Campania che prevede la progressiva digitalizzazione di tutti i processi e procedimenti amministrativi e la loro evoluzione in servizi accessibili on line e disponibili sul </w:t>
      </w:r>
      <w:r w:rsidRPr="00FD03FA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Catalogo dei Servizi digitali </w:t>
      </w:r>
      <w:r w:rsidRPr="00FD03FA">
        <w:rPr>
          <w:rFonts w:asciiTheme="minorHAnsi" w:eastAsia="Times New Roman" w:hAnsiTheme="minorHAnsi" w:cstheme="minorHAnsi"/>
          <w:color w:val="5E5E5E"/>
          <w:sz w:val="24"/>
          <w:szCs w:val="24"/>
          <w:lang w:eastAsia="it-IT"/>
        </w:rPr>
        <w:t>(</w:t>
      </w:r>
      <w:hyperlink r:id="rId9" w:history="1">
        <w:r w:rsidRPr="00517EDA">
          <w:rPr>
            <w:rStyle w:val="Collegamentoipertestuale"/>
            <w:rFonts w:asciiTheme="minorHAnsi" w:hAnsiTheme="minorHAnsi" w:cstheme="minorHAnsi"/>
          </w:rPr>
          <w:t>https://servizi-digitali.regione.campania.it/</w:t>
        </w:r>
      </w:hyperlink>
      <w:r w:rsidRPr="00517EDA">
        <w:rPr>
          <w:rStyle w:val="Collegamentoipertestuale"/>
          <w:rFonts w:asciiTheme="minorHAnsi" w:hAnsiTheme="minorHAnsi" w:cstheme="minorHAnsi"/>
        </w:rPr>
        <w:t>).</w:t>
      </w:r>
    </w:p>
    <w:sectPr w:rsidR="00477BD5" w:rsidRPr="00517EDA" w:rsidSect="003B5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18EC" w14:textId="77777777" w:rsidR="00601C43" w:rsidRDefault="00601C43" w:rsidP="00A5635C">
      <w:r>
        <w:separator/>
      </w:r>
    </w:p>
  </w:endnote>
  <w:endnote w:type="continuationSeparator" w:id="0">
    <w:p w14:paraId="66B57974" w14:textId="77777777" w:rsidR="00601C43" w:rsidRDefault="00601C43" w:rsidP="00A5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701B" w14:textId="77777777" w:rsidR="00937C64" w:rsidRDefault="00937C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A2E2" w14:textId="7D8334E1" w:rsidR="00477BD5" w:rsidRPr="00477BD5" w:rsidRDefault="00477BD5" w:rsidP="00477BD5">
    <w:pPr>
      <w:pStyle w:val="Pidipagina"/>
      <w:jc w:val="center"/>
      <w:rPr>
        <w:rFonts w:asciiTheme="minorHAnsi" w:hAnsiTheme="minorHAnsi" w:cstheme="minorHAnsi"/>
        <w:color w:val="000000" w:themeColor="text1"/>
      </w:rPr>
    </w:pPr>
    <w:r w:rsidRPr="00477BD5">
      <w:rPr>
        <w:rFonts w:asciiTheme="minorHAnsi" w:hAnsiTheme="minorHAnsi" w:cstheme="minorHAnsi"/>
        <w:bCs/>
        <w:i/>
        <w:color w:val="000000" w:themeColor="text1"/>
        <w:sz w:val="24"/>
        <w:szCs w:val="24"/>
      </w:rPr>
      <w:t xml:space="preserve">Direzione Generale per le Politiche Culturali e il Turismo  </w:t>
    </w:r>
    <w:r w:rsidRPr="00477BD5">
      <w:rPr>
        <w:rFonts w:asciiTheme="minorHAnsi" w:hAnsiTheme="minorHAnsi" w:cstheme="minorHAnsi"/>
        <w:color w:val="000000" w:themeColor="text1"/>
        <w:shd w:val="clear" w:color="auto" w:fill="FFFFFF"/>
      </w:rPr>
      <w:t>indirizzo: Via Nuova Marina, 19/C - 80132 Napoli Telefono: 081.7963575 </w:t>
    </w:r>
    <w:r w:rsidRPr="00477BD5">
      <w:rPr>
        <w:rFonts w:asciiTheme="minorHAnsi" w:hAnsiTheme="minorHAnsi" w:cstheme="minorHAnsi"/>
        <w:bCs/>
        <w:i/>
        <w:color w:val="000000" w:themeColor="text1"/>
        <w:sz w:val="24"/>
        <w:szCs w:val="24"/>
      </w:rPr>
      <w:t xml:space="preserve">       Pec: </w:t>
    </w:r>
    <w:hyperlink r:id="rId1" w:history="1">
      <w:r w:rsidRPr="00477BD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dg.501200@pec.regione.campania.it</w:t>
      </w:r>
    </w:hyperlink>
    <w:r w:rsidRPr="00477BD5">
      <w:rPr>
        <w:rFonts w:asciiTheme="minorHAnsi" w:hAnsiTheme="minorHAnsi" w:cstheme="minorHAnsi"/>
        <w:bCs/>
        <w:i/>
        <w:color w:val="000000" w:themeColor="text1"/>
        <w:sz w:val="24"/>
        <w:szCs w:val="24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D642" w14:textId="77777777" w:rsidR="00937C64" w:rsidRDefault="00937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F797" w14:textId="77777777" w:rsidR="00601C43" w:rsidRDefault="00601C43" w:rsidP="00A5635C">
      <w:r>
        <w:separator/>
      </w:r>
    </w:p>
  </w:footnote>
  <w:footnote w:type="continuationSeparator" w:id="0">
    <w:p w14:paraId="561B6A62" w14:textId="77777777" w:rsidR="00601C43" w:rsidRDefault="00601C43" w:rsidP="00A5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C74B" w14:textId="77777777" w:rsidR="00937C64" w:rsidRDefault="00937C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1733"/>
      <w:gridCol w:w="1700"/>
      <w:gridCol w:w="3260"/>
    </w:tblGrid>
    <w:tr w:rsidR="005E6365" w14:paraId="38275E9B" w14:textId="77777777" w:rsidTr="00F107A5">
      <w:trPr>
        <w:jc w:val="center"/>
      </w:trPr>
      <w:tc>
        <w:tcPr>
          <w:tcW w:w="1528" w:type="pct"/>
        </w:tcPr>
        <w:p w14:paraId="2C063DE4" w14:textId="77777777" w:rsidR="005E6365" w:rsidRDefault="005E6365" w:rsidP="00CF0D5C">
          <w:pPr>
            <w:jc w:val="center"/>
          </w:pPr>
        </w:p>
        <w:p w14:paraId="61A2DC32" w14:textId="1DF21D96" w:rsidR="005E6365" w:rsidRDefault="005E6365" w:rsidP="00CF0D5C">
          <w:pPr>
            <w:jc w:val="center"/>
            <w:rPr>
              <w:noProof/>
            </w:rPr>
          </w:pPr>
          <w:r w:rsidRPr="00E15A24">
            <w:rPr>
              <w:noProof/>
              <w:lang w:eastAsia="it-IT"/>
            </w:rPr>
            <w:drawing>
              <wp:inline distT="0" distB="0" distL="0" distR="0" wp14:anchorId="6C65C9EC" wp14:editId="1800590D">
                <wp:extent cx="1453754" cy="584200"/>
                <wp:effectExtent l="0" t="0" r="0" b="6350"/>
                <wp:docPr id="203675379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75379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751" cy="590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811C36" w14:textId="0B0C0BA8" w:rsidR="005E6365" w:rsidRPr="00E15A24" w:rsidRDefault="005E6365" w:rsidP="00E15A24"/>
      </w:tc>
      <w:tc>
        <w:tcPr>
          <w:tcW w:w="899" w:type="pct"/>
        </w:tcPr>
        <w:p w14:paraId="222408EE" w14:textId="77777777" w:rsidR="005E6365" w:rsidRDefault="005E6365" w:rsidP="00CF0D5C">
          <w:pPr>
            <w:jc w:val="center"/>
          </w:pPr>
        </w:p>
        <w:p w14:paraId="5B77469C" w14:textId="0DA2FE7E" w:rsidR="005E6365" w:rsidRDefault="005E6365" w:rsidP="00CF0D5C">
          <w:pPr>
            <w:jc w:val="center"/>
            <w:rPr>
              <w:noProof/>
            </w:rPr>
          </w:pPr>
          <w:r w:rsidRPr="003D4E75">
            <w:rPr>
              <w:noProof/>
              <w:lang w:eastAsia="it-IT"/>
            </w:rPr>
            <w:drawing>
              <wp:inline distT="0" distB="0" distL="0" distR="0" wp14:anchorId="4109D136" wp14:editId="30ABC941">
                <wp:extent cx="850900" cy="429523"/>
                <wp:effectExtent l="0" t="0" r="6350" b="8890"/>
                <wp:docPr id="179696817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070" cy="43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pct"/>
        </w:tcPr>
        <w:p w14:paraId="09DCB8B3" w14:textId="77777777" w:rsidR="005E6365" w:rsidRDefault="005E6365" w:rsidP="00CF0D5C">
          <w:pPr>
            <w:jc w:val="center"/>
          </w:pPr>
        </w:p>
        <w:p w14:paraId="73A65F53" w14:textId="38934744" w:rsidR="005E6365" w:rsidRDefault="005E6365" w:rsidP="00CF0D5C">
          <w:pPr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0521D805" wp14:editId="7E68E2E6">
                <wp:extent cx="628650" cy="589080"/>
                <wp:effectExtent l="0" t="0" r="0" b="0"/>
                <wp:docPr id="54" name="image42.png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e42.png" descr="Immagine che contiene testo, segnale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115" cy="593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1" w:type="pct"/>
        </w:tcPr>
        <w:p w14:paraId="50A3EB1D" w14:textId="77777777" w:rsidR="005E6365" w:rsidRDefault="005E6365" w:rsidP="00CF0D5C">
          <w:pPr>
            <w:jc w:val="center"/>
          </w:pPr>
        </w:p>
        <w:p w14:paraId="3B7F8A08" w14:textId="4B5CB43F" w:rsidR="005E6365" w:rsidRDefault="005E6365" w:rsidP="00CF0D5C">
          <w:pPr>
            <w:jc w:val="center"/>
            <w:rPr>
              <w:noProof/>
            </w:rPr>
          </w:pPr>
          <w:r w:rsidRPr="003D4E75">
            <w:rPr>
              <w:noProof/>
              <w:lang w:eastAsia="it-IT"/>
            </w:rPr>
            <w:drawing>
              <wp:inline distT="0" distB="0" distL="0" distR="0" wp14:anchorId="3E7BAD87" wp14:editId="7C3CD205">
                <wp:extent cx="1529080" cy="575074"/>
                <wp:effectExtent l="0" t="0" r="0" b="0"/>
                <wp:docPr id="88034786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6" cy="58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AC1AC" w14:textId="1CA2D6F2" w:rsidR="00A5635C" w:rsidRPr="00ED279B" w:rsidRDefault="00ED6D49">
    <w:pPr>
      <w:pStyle w:val="Intestazione"/>
      <w:rPr>
        <w:rFonts w:ascii="Bodoni MT" w:hAnsi="Bodoni MT"/>
        <w:bCs/>
        <w:i/>
        <w:color w:val="000080"/>
        <w:sz w:val="24"/>
        <w:szCs w:val="24"/>
      </w:rPr>
    </w:pPr>
    <w:r>
      <w:rPr>
        <w:rFonts w:ascii="Bodoni MT" w:hAnsi="Bodoni MT"/>
        <w:bCs/>
        <w:i/>
        <w:color w:val="000080"/>
        <w:sz w:val="28"/>
        <w:szCs w:val="28"/>
      </w:rPr>
      <w:t xml:space="preserve">            </w:t>
    </w:r>
    <w:r w:rsidR="00A05E64">
      <w:rPr>
        <w:rFonts w:ascii="Bodoni MT" w:hAnsi="Bodoni MT"/>
        <w:bCs/>
        <w:i/>
        <w:color w:val="000080"/>
        <w:sz w:val="28"/>
        <w:szCs w:val="28"/>
      </w:rPr>
      <w:t xml:space="preserve">   </w:t>
    </w:r>
    <w:r>
      <w:rPr>
        <w:rFonts w:ascii="Bodoni MT" w:hAnsi="Bodoni MT"/>
        <w:bCs/>
        <w:i/>
        <w:color w:val="000080"/>
        <w:sz w:val="28"/>
        <w:szCs w:val="28"/>
      </w:rPr>
      <w:t xml:space="preserve"> </w:t>
    </w:r>
    <w:r w:rsidR="00ED279B">
      <w:rPr>
        <w:rFonts w:ascii="Bodoni MT" w:hAnsi="Bodoni MT"/>
        <w:bCs/>
        <w:i/>
        <w:color w:val="000080"/>
        <w:sz w:val="28"/>
        <w:szCs w:val="28"/>
      </w:rPr>
      <w:t xml:space="preserve">   </w:t>
    </w:r>
    <w:r w:rsidR="00CB2AE5">
      <w:rPr>
        <w:rFonts w:ascii="Bodoni MT" w:hAnsi="Bodoni MT"/>
        <w:bCs/>
        <w:i/>
        <w:color w:val="000080"/>
        <w:sz w:val="28"/>
        <w:szCs w:val="28"/>
      </w:rPr>
      <w:t xml:space="preserve">        </w:t>
    </w:r>
    <w:r>
      <w:rPr>
        <w:rFonts w:ascii="Bodoni MT" w:hAnsi="Bodoni MT"/>
        <w:bCs/>
        <w:i/>
        <w:color w:val="00008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FF95" w14:textId="77777777" w:rsidR="00937C64" w:rsidRDefault="00937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548"/>
    <w:multiLevelType w:val="hybridMultilevel"/>
    <w:tmpl w:val="7E12E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487"/>
    <w:multiLevelType w:val="hybridMultilevel"/>
    <w:tmpl w:val="217CFCAE"/>
    <w:lvl w:ilvl="0" w:tplc="976C9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CC3"/>
    <w:multiLevelType w:val="hybridMultilevel"/>
    <w:tmpl w:val="B36E15DC"/>
    <w:lvl w:ilvl="0" w:tplc="976C9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82974"/>
    <w:multiLevelType w:val="hybridMultilevel"/>
    <w:tmpl w:val="DD268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74ABF"/>
    <w:multiLevelType w:val="hybridMultilevel"/>
    <w:tmpl w:val="1658891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FFA15"/>
    <w:multiLevelType w:val="hybridMultilevel"/>
    <w:tmpl w:val="4F224C1C"/>
    <w:lvl w:ilvl="0" w:tplc="57A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8F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6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7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A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9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AE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2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80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5FE0"/>
    <w:multiLevelType w:val="hybridMultilevel"/>
    <w:tmpl w:val="AC12C9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DF6489"/>
    <w:multiLevelType w:val="hybridMultilevel"/>
    <w:tmpl w:val="4BD80E46"/>
    <w:lvl w:ilvl="0" w:tplc="B1D23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C200B"/>
    <w:multiLevelType w:val="hybridMultilevel"/>
    <w:tmpl w:val="A8FA1376"/>
    <w:lvl w:ilvl="0" w:tplc="E3EECA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6F64"/>
    <w:multiLevelType w:val="hybridMultilevel"/>
    <w:tmpl w:val="3B14DD0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944707">
    <w:abstractNumId w:val="2"/>
  </w:num>
  <w:num w:numId="2" w16cid:durableId="349064521">
    <w:abstractNumId w:val="1"/>
  </w:num>
  <w:num w:numId="3" w16cid:durableId="247927273">
    <w:abstractNumId w:val="4"/>
  </w:num>
  <w:num w:numId="4" w16cid:durableId="153643105">
    <w:abstractNumId w:val="0"/>
  </w:num>
  <w:num w:numId="5" w16cid:durableId="655450716">
    <w:abstractNumId w:val="8"/>
  </w:num>
  <w:num w:numId="6" w16cid:durableId="26300479">
    <w:abstractNumId w:val="3"/>
  </w:num>
  <w:num w:numId="7" w16cid:durableId="1424378758">
    <w:abstractNumId w:val="7"/>
  </w:num>
  <w:num w:numId="8" w16cid:durableId="503395348">
    <w:abstractNumId w:val="9"/>
  </w:num>
  <w:num w:numId="9" w16cid:durableId="1825314549">
    <w:abstractNumId w:val="6"/>
  </w:num>
  <w:num w:numId="10" w16cid:durableId="642466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0B"/>
    <w:rsid w:val="00006561"/>
    <w:rsid w:val="0002297A"/>
    <w:rsid w:val="00031C1A"/>
    <w:rsid w:val="000E33E0"/>
    <w:rsid w:val="000F1A11"/>
    <w:rsid w:val="001102CA"/>
    <w:rsid w:val="001149E1"/>
    <w:rsid w:val="001221A5"/>
    <w:rsid w:val="0013707C"/>
    <w:rsid w:val="00140AF5"/>
    <w:rsid w:val="00153527"/>
    <w:rsid w:val="001635DD"/>
    <w:rsid w:val="00177712"/>
    <w:rsid w:val="001A016E"/>
    <w:rsid w:val="001A6378"/>
    <w:rsid w:val="001B50BB"/>
    <w:rsid w:val="001D1C18"/>
    <w:rsid w:val="002043A7"/>
    <w:rsid w:val="00207EAC"/>
    <w:rsid w:val="002169CF"/>
    <w:rsid w:val="00236E7E"/>
    <w:rsid w:val="00242CF0"/>
    <w:rsid w:val="002751A5"/>
    <w:rsid w:val="002937FE"/>
    <w:rsid w:val="002955E7"/>
    <w:rsid w:val="002E23B3"/>
    <w:rsid w:val="002F3A5B"/>
    <w:rsid w:val="00317DAF"/>
    <w:rsid w:val="003234FF"/>
    <w:rsid w:val="0037237C"/>
    <w:rsid w:val="00372FEC"/>
    <w:rsid w:val="003901E5"/>
    <w:rsid w:val="0039147A"/>
    <w:rsid w:val="00397060"/>
    <w:rsid w:val="003B5C00"/>
    <w:rsid w:val="003F62AC"/>
    <w:rsid w:val="00400F99"/>
    <w:rsid w:val="00403073"/>
    <w:rsid w:val="00411C76"/>
    <w:rsid w:val="00415B59"/>
    <w:rsid w:val="00430EF7"/>
    <w:rsid w:val="00437846"/>
    <w:rsid w:val="004565B7"/>
    <w:rsid w:val="00477BD5"/>
    <w:rsid w:val="004A0383"/>
    <w:rsid w:val="004C0349"/>
    <w:rsid w:val="004C0ABD"/>
    <w:rsid w:val="004C64C2"/>
    <w:rsid w:val="004D7766"/>
    <w:rsid w:val="004F1D1E"/>
    <w:rsid w:val="00517EDA"/>
    <w:rsid w:val="00551210"/>
    <w:rsid w:val="00574F59"/>
    <w:rsid w:val="005817D5"/>
    <w:rsid w:val="005B72FA"/>
    <w:rsid w:val="005C2654"/>
    <w:rsid w:val="005D1947"/>
    <w:rsid w:val="005D35DD"/>
    <w:rsid w:val="005E6365"/>
    <w:rsid w:val="005F0153"/>
    <w:rsid w:val="00600091"/>
    <w:rsid w:val="00601C43"/>
    <w:rsid w:val="00612A2B"/>
    <w:rsid w:val="00613C7B"/>
    <w:rsid w:val="0061685B"/>
    <w:rsid w:val="006452A4"/>
    <w:rsid w:val="00653C58"/>
    <w:rsid w:val="0065652B"/>
    <w:rsid w:val="00665C6F"/>
    <w:rsid w:val="00671E3E"/>
    <w:rsid w:val="00673D0B"/>
    <w:rsid w:val="006768D7"/>
    <w:rsid w:val="006928B1"/>
    <w:rsid w:val="006A0FA9"/>
    <w:rsid w:val="006A4AD1"/>
    <w:rsid w:val="006B5F32"/>
    <w:rsid w:val="006C44A5"/>
    <w:rsid w:val="006C7A7E"/>
    <w:rsid w:val="006F5EDB"/>
    <w:rsid w:val="00710C0C"/>
    <w:rsid w:val="00725248"/>
    <w:rsid w:val="00732D31"/>
    <w:rsid w:val="0073331D"/>
    <w:rsid w:val="00737672"/>
    <w:rsid w:val="00740938"/>
    <w:rsid w:val="00744B29"/>
    <w:rsid w:val="00750572"/>
    <w:rsid w:val="00787F5A"/>
    <w:rsid w:val="00796EF4"/>
    <w:rsid w:val="007C7551"/>
    <w:rsid w:val="007D07F2"/>
    <w:rsid w:val="007F574E"/>
    <w:rsid w:val="0081330E"/>
    <w:rsid w:val="008156CA"/>
    <w:rsid w:val="0082409A"/>
    <w:rsid w:val="008308EB"/>
    <w:rsid w:val="00832694"/>
    <w:rsid w:val="00836FC0"/>
    <w:rsid w:val="00851C18"/>
    <w:rsid w:val="00861657"/>
    <w:rsid w:val="00887834"/>
    <w:rsid w:val="008A71FE"/>
    <w:rsid w:val="008B368F"/>
    <w:rsid w:val="008C218D"/>
    <w:rsid w:val="008C2F6D"/>
    <w:rsid w:val="008C483E"/>
    <w:rsid w:val="008E417E"/>
    <w:rsid w:val="00905CE0"/>
    <w:rsid w:val="00915BCF"/>
    <w:rsid w:val="0092004F"/>
    <w:rsid w:val="00921F56"/>
    <w:rsid w:val="00930425"/>
    <w:rsid w:val="00937C64"/>
    <w:rsid w:val="009411FC"/>
    <w:rsid w:val="009836DE"/>
    <w:rsid w:val="00987506"/>
    <w:rsid w:val="009A5DEF"/>
    <w:rsid w:val="009E4C74"/>
    <w:rsid w:val="009F3E57"/>
    <w:rsid w:val="00A05E64"/>
    <w:rsid w:val="00A33C50"/>
    <w:rsid w:val="00A358B4"/>
    <w:rsid w:val="00A36BE7"/>
    <w:rsid w:val="00A41021"/>
    <w:rsid w:val="00A4771C"/>
    <w:rsid w:val="00A5635C"/>
    <w:rsid w:val="00A60F80"/>
    <w:rsid w:val="00A71297"/>
    <w:rsid w:val="00A714D4"/>
    <w:rsid w:val="00A71B41"/>
    <w:rsid w:val="00A75E24"/>
    <w:rsid w:val="00A84641"/>
    <w:rsid w:val="00A914D1"/>
    <w:rsid w:val="00A951E8"/>
    <w:rsid w:val="00AA1C66"/>
    <w:rsid w:val="00AA6FD8"/>
    <w:rsid w:val="00AB1B5A"/>
    <w:rsid w:val="00AC0375"/>
    <w:rsid w:val="00AF02C7"/>
    <w:rsid w:val="00AF780D"/>
    <w:rsid w:val="00B05BF6"/>
    <w:rsid w:val="00B1338C"/>
    <w:rsid w:val="00B32112"/>
    <w:rsid w:val="00B346A6"/>
    <w:rsid w:val="00B75311"/>
    <w:rsid w:val="00B754AB"/>
    <w:rsid w:val="00B810D8"/>
    <w:rsid w:val="00B86695"/>
    <w:rsid w:val="00B927E9"/>
    <w:rsid w:val="00BA6AA3"/>
    <w:rsid w:val="00BA6E1D"/>
    <w:rsid w:val="00BB345A"/>
    <w:rsid w:val="00BB72F3"/>
    <w:rsid w:val="00BD77E3"/>
    <w:rsid w:val="00BE13D9"/>
    <w:rsid w:val="00C32EC4"/>
    <w:rsid w:val="00C37EAF"/>
    <w:rsid w:val="00C42D86"/>
    <w:rsid w:val="00C65137"/>
    <w:rsid w:val="00C75F18"/>
    <w:rsid w:val="00C814F5"/>
    <w:rsid w:val="00C81EE1"/>
    <w:rsid w:val="00C832D4"/>
    <w:rsid w:val="00C96E26"/>
    <w:rsid w:val="00CA03FD"/>
    <w:rsid w:val="00CB2AE5"/>
    <w:rsid w:val="00CB43D3"/>
    <w:rsid w:val="00CB7297"/>
    <w:rsid w:val="00CD249A"/>
    <w:rsid w:val="00CD5512"/>
    <w:rsid w:val="00CF0D5C"/>
    <w:rsid w:val="00CF2B93"/>
    <w:rsid w:val="00D1390D"/>
    <w:rsid w:val="00D229E7"/>
    <w:rsid w:val="00D2388A"/>
    <w:rsid w:val="00D2549A"/>
    <w:rsid w:val="00D57A2A"/>
    <w:rsid w:val="00D62539"/>
    <w:rsid w:val="00D80438"/>
    <w:rsid w:val="00DB1B8B"/>
    <w:rsid w:val="00DC2E15"/>
    <w:rsid w:val="00DC3C12"/>
    <w:rsid w:val="00DD7687"/>
    <w:rsid w:val="00E13C6C"/>
    <w:rsid w:val="00E14BE0"/>
    <w:rsid w:val="00E15A24"/>
    <w:rsid w:val="00E26587"/>
    <w:rsid w:val="00E37420"/>
    <w:rsid w:val="00E53644"/>
    <w:rsid w:val="00E736FD"/>
    <w:rsid w:val="00E80751"/>
    <w:rsid w:val="00E858B8"/>
    <w:rsid w:val="00E860C2"/>
    <w:rsid w:val="00E9061B"/>
    <w:rsid w:val="00EA47A7"/>
    <w:rsid w:val="00EB781F"/>
    <w:rsid w:val="00ED279B"/>
    <w:rsid w:val="00ED6D49"/>
    <w:rsid w:val="00EF5471"/>
    <w:rsid w:val="00F01F69"/>
    <w:rsid w:val="00F042F2"/>
    <w:rsid w:val="00F107A5"/>
    <w:rsid w:val="00F351C4"/>
    <w:rsid w:val="00F377E1"/>
    <w:rsid w:val="00F37B53"/>
    <w:rsid w:val="00F45221"/>
    <w:rsid w:val="00F61B3F"/>
    <w:rsid w:val="00F63DF7"/>
    <w:rsid w:val="00F83CEA"/>
    <w:rsid w:val="00FB1526"/>
    <w:rsid w:val="00FB4A9C"/>
    <w:rsid w:val="00FB4EB1"/>
    <w:rsid w:val="00FC704E"/>
    <w:rsid w:val="00FD03FA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87851"/>
  <w15:chartTrackingRefBased/>
  <w15:docId w15:val="{E28B432E-1597-4908-B735-C6E0151A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35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6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35C"/>
  </w:style>
  <w:style w:type="paragraph" w:styleId="Pidipagina">
    <w:name w:val="footer"/>
    <w:basedOn w:val="Normale"/>
    <w:link w:val="PidipaginaCarattere"/>
    <w:unhideWhenUsed/>
    <w:rsid w:val="00A56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35C"/>
  </w:style>
  <w:style w:type="paragraph" w:styleId="Corpotesto">
    <w:name w:val="Body Text"/>
    <w:basedOn w:val="Normale"/>
    <w:link w:val="CorpotestoCarattere"/>
    <w:uiPriority w:val="1"/>
    <w:qFormat/>
    <w:rsid w:val="00A5635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635C"/>
    <w:rPr>
      <w:rFonts w:ascii="Garamond" w:eastAsia="Garamond" w:hAnsi="Garamond" w:cs="Garamond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A5635C"/>
    <w:pPr>
      <w:ind w:left="132" w:right="133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A5635C"/>
    <w:rPr>
      <w:rFonts w:ascii="Garamond" w:eastAsia="Garamond" w:hAnsi="Garamond" w:cs="Garamond"/>
      <w:b/>
      <w:bCs/>
      <w:sz w:val="36"/>
      <w:szCs w:val="36"/>
    </w:rPr>
  </w:style>
  <w:style w:type="paragraph" w:customStyle="1" w:styleId="rtejustify">
    <w:name w:val="rtejustify"/>
    <w:basedOn w:val="Normale"/>
    <w:uiPriority w:val="99"/>
    <w:rsid w:val="00A563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Normal bullet 2,Elenco VOX,Elenco_2,Question,Elenco a colori - Colore 11,List Paragraph,Elenco1"/>
    <w:basedOn w:val="Normale"/>
    <w:link w:val="ParagrafoelencoCarattere"/>
    <w:uiPriority w:val="34"/>
    <w:qFormat/>
    <w:rsid w:val="002043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B5F32"/>
    <w:pPr>
      <w:spacing w:after="0" w:line="240" w:lineRule="auto"/>
    </w:pPr>
    <w:rPr>
      <w:rFonts w:ascii="Garamond" w:eastAsia="Garamond" w:hAnsi="Garamond" w:cs="Garamon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2E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2E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2EC4"/>
    <w:rPr>
      <w:rFonts w:ascii="Garamond" w:eastAsia="Garamond" w:hAnsi="Garamond" w:cs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2EC4"/>
    <w:rPr>
      <w:rFonts w:ascii="Garamond" w:eastAsia="Garamond" w:hAnsi="Garamond" w:cs="Garamond"/>
      <w:b/>
      <w:bCs/>
      <w:sz w:val="20"/>
      <w:szCs w:val="20"/>
    </w:r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,Elenco1 Carattere"/>
    <w:basedOn w:val="Carpredefinitoparagrafo"/>
    <w:link w:val="Paragrafoelenco"/>
    <w:uiPriority w:val="34"/>
    <w:qFormat/>
    <w:rsid w:val="00F377E1"/>
    <w:rPr>
      <w:rFonts w:ascii="Garamond" w:eastAsia="Garamond" w:hAnsi="Garamond" w:cs="Garamond"/>
    </w:rPr>
  </w:style>
  <w:style w:type="character" w:styleId="Collegamentoipertestuale">
    <w:name w:val="Hyperlink"/>
    <w:uiPriority w:val="99"/>
    <w:rsid w:val="005C265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4C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77B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77BD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-digitali.regione.campania.it/SanzaImpr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-digitali.regione.campania.i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ec.regione.campania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A97D-D282-4325-9C2D-CFE58C3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BONAVITA</dc:creator>
  <cp:keywords/>
  <dc:description/>
  <cp:lastModifiedBy>IOLANDA FIORILLO</cp:lastModifiedBy>
  <cp:revision>5</cp:revision>
  <cp:lastPrinted>2024-12-23T12:53:00Z</cp:lastPrinted>
  <dcterms:created xsi:type="dcterms:W3CDTF">2025-01-21T11:36:00Z</dcterms:created>
  <dcterms:modified xsi:type="dcterms:W3CDTF">2025-01-22T10:03:00Z</dcterms:modified>
</cp:coreProperties>
</file>